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7EA" w:rsidRPr="00A213E0" w:rsidRDefault="00F517EA" w:rsidP="00A213E0">
      <w:pPr>
        <w:ind w:left="-567"/>
        <w:jc w:val="both"/>
        <w:rPr>
          <w:rFonts w:ascii="Verdana" w:eastAsia="Times New Roman" w:hAnsi="Verdana" w:cs="Tahoma"/>
          <w:color w:val="0070C0"/>
          <w:sz w:val="20"/>
          <w:szCs w:val="20"/>
          <w:lang w:eastAsia="es-ES"/>
        </w:rPr>
      </w:pPr>
      <w:r w:rsidRPr="00A213E0">
        <w:rPr>
          <w:rFonts w:ascii="Verdana" w:eastAsia="Times New Roman" w:hAnsi="Verdana" w:cs="Times New Roman"/>
          <w:color w:val="0070C0"/>
          <w:spacing w:val="-1"/>
          <w:sz w:val="20"/>
          <w:szCs w:val="20"/>
          <w:lang w:eastAsia="es-ES"/>
        </w:rPr>
        <w:t>VOTO</w:t>
      </w:r>
      <w:r w:rsidRPr="00A213E0">
        <w:rPr>
          <w:rFonts w:ascii="Verdana" w:eastAsia="Times New Roman" w:hAnsi="Verdana" w:cs="Times New Roman"/>
          <w:color w:val="0070C0"/>
          <w:spacing w:val="8"/>
          <w:sz w:val="20"/>
          <w:szCs w:val="20"/>
          <w:lang w:eastAsia="es-ES"/>
        </w:rPr>
        <w:t xml:space="preserve"> </w:t>
      </w:r>
      <w:r w:rsidRPr="00A213E0">
        <w:rPr>
          <w:rFonts w:ascii="Verdana" w:eastAsia="Times New Roman" w:hAnsi="Verdana" w:cs="Times New Roman"/>
          <w:color w:val="0070C0"/>
          <w:spacing w:val="-1"/>
          <w:sz w:val="20"/>
          <w:szCs w:val="20"/>
          <w:lang w:eastAsia="es-ES"/>
        </w:rPr>
        <w:t>PARTICULAR</w:t>
      </w:r>
      <w:r w:rsidRPr="00A213E0">
        <w:rPr>
          <w:rFonts w:ascii="Verdana" w:eastAsia="Times New Roman" w:hAnsi="Verdana" w:cs="Times New Roman"/>
          <w:color w:val="0070C0"/>
          <w:spacing w:val="7"/>
          <w:sz w:val="20"/>
          <w:szCs w:val="20"/>
          <w:lang w:eastAsia="es-ES"/>
        </w:rPr>
        <w:t xml:space="preserve"> </w:t>
      </w:r>
      <w:r w:rsidRPr="00A213E0">
        <w:rPr>
          <w:rFonts w:ascii="Verdana" w:eastAsia="Times New Roman" w:hAnsi="Verdana" w:cs="Times New Roman"/>
          <w:color w:val="0070C0"/>
          <w:spacing w:val="-1"/>
          <w:sz w:val="20"/>
          <w:szCs w:val="20"/>
          <w:lang w:eastAsia="es-ES"/>
        </w:rPr>
        <w:t>PRESENTADO</w:t>
      </w:r>
      <w:r w:rsidRPr="00A213E0">
        <w:rPr>
          <w:rFonts w:ascii="Verdana" w:eastAsia="Times New Roman" w:hAnsi="Verdana" w:cs="Times New Roman"/>
          <w:color w:val="0070C0"/>
          <w:spacing w:val="8"/>
          <w:sz w:val="20"/>
          <w:szCs w:val="20"/>
          <w:lang w:eastAsia="es-ES"/>
        </w:rPr>
        <w:t xml:space="preserve"> </w:t>
      </w:r>
      <w:r w:rsidRPr="00A213E0">
        <w:rPr>
          <w:rFonts w:ascii="Verdana" w:eastAsia="Times New Roman" w:hAnsi="Verdana" w:cs="Times New Roman"/>
          <w:color w:val="0070C0"/>
          <w:spacing w:val="-1"/>
          <w:sz w:val="20"/>
          <w:szCs w:val="20"/>
          <w:lang w:eastAsia="es-ES"/>
        </w:rPr>
        <w:t>POR</w:t>
      </w:r>
      <w:r w:rsidRPr="00A213E0">
        <w:rPr>
          <w:rFonts w:ascii="Verdana" w:eastAsia="Times New Roman" w:hAnsi="Verdana" w:cs="Times New Roman"/>
          <w:color w:val="0070C0"/>
          <w:spacing w:val="7"/>
          <w:sz w:val="20"/>
          <w:szCs w:val="20"/>
          <w:lang w:eastAsia="es-ES"/>
        </w:rPr>
        <w:t xml:space="preserve"> </w:t>
      </w:r>
      <w:r w:rsidRPr="00A213E0">
        <w:rPr>
          <w:rFonts w:ascii="Verdana" w:eastAsia="Times New Roman" w:hAnsi="Verdana" w:cs="Times New Roman"/>
          <w:color w:val="0070C0"/>
          <w:sz w:val="20"/>
          <w:szCs w:val="20"/>
          <w:lang w:eastAsia="es-ES"/>
        </w:rPr>
        <w:t>EL</w:t>
      </w:r>
      <w:r w:rsidRPr="00A213E0">
        <w:rPr>
          <w:rFonts w:ascii="Verdana" w:eastAsia="Times New Roman" w:hAnsi="Verdana" w:cs="Times New Roman"/>
          <w:color w:val="0070C0"/>
          <w:spacing w:val="35"/>
          <w:sz w:val="20"/>
          <w:szCs w:val="20"/>
          <w:lang w:eastAsia="es-ES"/>
        </w:rPr>
        <w:t xml:space="preserve"> </w:t>
      </w:r>
      <w:r w:rsidRPr="00A213E0">
        <w:rPr>
          <w:rFonts w:ascii="Verdana" w:eastAsia="Times New Roman" w:hAnsi="Verdana" w:cs="Times New Roman"/>
          <w:color w:val="0070C0"/>
          <w:spacing w:val="-1"/>
          <w:sz w:val="20"/>
          <w:szCs w:val="20"/>
          <w:lang w:eastAsia="es-ES"/>
        </w:rPr>
        <w:t>CONSEJERO DE</w:t>
      </w:r>
      <w:r w:rsidRPr="00A213E0">
        <w:rPr>
          <w:rFonts w:ascii="Verdana" w:eastAsia="Times New Roman" w:hAnsi="Verdana" w:cs="Times New Roman"/>
          <w:color w:val="0070C0"/>
          <w:spacing w:val="19"/>
          <w:sz w:val="20"/>
          <w:szCs w:val="20"/>
          <w:lang w:eastAsia="es-ES"/>
        </w:rPr>
        <w:t xml:space="preserve"> STES INTERSINDICAL, </w:t>
      </w:r>
      <w:r w:rsidRPr="00A213E0">
        <w:rPr>
          <w:rFonts w:ascii="Verdana" w:eastAsia="Times New Roman" w:hAnsi="Verdana" w:cs="Times New Roman"/>
          <w:color w:val="0070C0"/>
          <w:sz w:val="20"/>
          <w:szCs w:val="20"/>
          <w:lang w:eastAsia="es-ES"/>
        </w:rPr>
        <w:t>JOSÉ LUIS LÓPEZ BELMONTE,  AL</w:t>
      </w:r>
      <w:r w:rsidRPr="00A213E0">
        <w:rPr>
          <w:rFonts w:ascii="Verdana" w:eastAsia="Times New Roman" w:hAnsi="Verdana" w:cs="Times New Roman"/>
          <w:color w:val="0070C0"/>
          <w:spacing w:val="68"/>
          <w:sz w:val="20"/>
          <w:szCs w:val="20"/>
          <w:lang w:eastAsia="es-ES"/>
        </w:rPr>
        <w:t xml:space="preserve"> </w:t>
      </w:r>
      <w:r w:rsidRPr="00A213E0">
        <w:rPr>
          <w:rFonts w:ascii="Verdana" w:eastAsia="Times New Roman" w:hAnsi="Verdana" w:cs="Times New Roman"/>
          <w:color w:val="0070C0"/>
          <w:spacing w:val="-1"/>
          <w:sz w:val="20"/>
          <w:szCs w:val="20"/>
          <w:lang w:eastAsia="es-ES"/>
        </w:rPr>
        <w:t>PROYECTO</w:t>
      </w:r>
      <w:r w:rsidRPr="00A213E0">
        <w:rPr>
          <w:rFonts w:ascii="Verdana" w:eastAsia="Times New Roman" w:hAnsi="Verdana" w:cs="Times New Roman"/>
          <w:color w:val="0070C0"/>
          <w:spacing w:val="72"/>
          <w:sz w:val="20"/>
          <w:szCs w:val="20"/>
          <w:lang w:eastAsia="es-ES"/>
        </w:rPr>
        <w:t xml:space="preserve"> </w:t>
      </w:r>
      <w:r w:rsidR="00C81AC3" w:rsidRPr="00A213E0">
        <w:rPr>
          <w:rFonts w:ascii="Verdana" w:eastAsia="Times New Roman" w:hAnsi="Verdana" w:cs="Times New Roman"/>
          <w:color w:val="0070C0"/>
          <w:sz w:val="20"/>
          <w:szCs w:val="20"/>
          <w:lang w:eastAsia="es-ES"/>
        </w:rPr>
        <w:t>DE ORDEN POR LA QUE SE MODIFICA LA ORDEN ECD/724/2015, DE 22 DE ABRIL, POR LA QUE SE REGULA LA ADMISIÓN DE ALUMNOS EN LOS CENTROS PÚBLICOS Y PRIVADOS  CONCERTADOS QUE IMPARTEN EL SEGUNDO CICLO DE EDUCACIÓN INFANTIL, EDUCACIÓN  PRIMARIA, EDUCACIÓN SECUNDARIA Y BACHILLERATO EN LAS CIUDADES DE CEUTA Y MELILLA</w:t>
      </w:r>
    </w:p>
    <w:p w:rsidR="00F517EA" w:rsidRPr="00A213E0" w:rsidRDefault="00F517EA" w:rsidP="00A213E0">
      <w:pPr>
        <w:ind w:left="-567"/>
        <w:rPr>
          <w:rFonts w:ascii="Tahoma" w:eastAsia="Times New Roman" w:hAnsi="Tahoma" w:cs="Tahoma"/>
          <w:color w:val="0070C0"/>
          <w:sz w:val="28"/>
          <w:szCs w:val="28"/>
          <w:lang w:eastAsia="es-ES"/>
        </w:rPr>
      </w:pPr>
    </w:p>
    <w:p w:rsidR="00F517EA" w:rsidRPr="00A213E0" w:rsidRDefault="00A46233" w:rsidP="00A213E0">
      <w:pPr>
        <w:widowControl w:val="0"/>
        <w:spacing w:before="57"/>
        <w:ind w:left="-567"/>
        <w:jc w:val="both"/>
        <w:rPr>
          <w:rFonts w:ascii="Verdana" w:eastAsia="Verdana" w:hAnsi="Verdana" w:cs="Times New Roman"/>
          <w:color w:val="0070C0"/>
        </w:rPr>
      </w:pPr>
      <w:r w:rsidRPr="00A213E0">
        <w:rPr>
          <w:rFonts w:ascii="Verdana" w:eastAsia="Verdana" w:hAnsi="Verdana" w:cs="Times New Roman"/>
          <w:color w:val="0070C0"/>
        </w:rPr>
        <w:t>El</w:t>
      </w:r>
      <w:r w:rsidR="00F517EA" w:rsidRPr="00A213E0">
        <w:rPr>
          <w:rFonts w:ascii="Verdana" w:eastAsia="Verdana" w:hAnsi="Verdana" w:cs="Times New Roman"/>
          <w:color w:val="0070C0"/>
          <w:spacing w:val="25"/>
        </w:rPr>
        <w:t xml:space="preserve"> </w:t>
      </w:r>
      <w:r w:rsidR="00F517EA" w:rsidRPr="00A213E0">
        <w:rPr>
          <w:rFonts w:ascii="Verdana" w:eastAsia="Verdana" w:hAnsi="Verdana" w:cs="Times New Roman"/>
          <w:color w:val="0070C0"/>
          <w:spacing w:val="-1"/>
        </w:rPr>
        <w:t>Consejero</w:t>
      </w:r>
      <w:r w:rsidR="00F517EA" w:rsidRPr="00A213E0">
        <w:rPr>
          <w:rFonts w:ascii="Verdana" w:eastAsia="Verdana" w:hAnsi="Verdana" w:cs="Times New Roman"/>
          <w:color w:val="0070C0"/>
          <w:spacing w:val="26"/>
        </w:rPr>
        <w:t xml:space="preserve"> </w:t>
      </w:r>
      <w:r w:rsidR="00E81A16" w:rsidRPr="00A213E0">
        <w:rPr>
          <w:rFonts w:ascii="Verdana" w:eastAsia="Verdana" w:hAnsi="Verdana" w:cs="Times New Roman"/>
          <w:color w:val="0070C0"/>
          <w:spacing w:val="-1"/>
        </w:rPr>
        <w:t>firmante</w:t>
      </w:r>
      <w:r w:rsidR="00F517EA" w:rsidRPr="00A213E0">
        <w:rPr>
          <w:rFonts w:ascii="Verdana" w:eastAsia="Verdana" w:hAnsi="Verdana" w:cs="Times New Roman"/>
          <w:color w:val="0070C0"/>
          <w:spacing w:val="25"/>
        </w:rPr>
        <w:t xml:space="preserve"> </w:t>
      </w:r>
      <w:r w:rsidR="00F517EA" w:rsidRPr="00A213E0">
        <w:rPr>
          <w:rFonts w:ascii="Verdana" w:eastAsia="Verdana" w:hAnsi="Verdana" w:cs="Times New Roman"/>
          <w:color w:val="0070C0"/>
          <w:spacing w:val="-1"/>
        </w:rPr>
        <w:t>del</w:t>
      </w:r>
      <w:r w:rsidR="00F517EA" w:rsidRPr="00A213E0">
        <w:rPr>
          <w:rFonts w:ascii="Verdana" w:eastAsia="Verdana" w:hAnsi="Verdana" w:cs="Times New Roman"/>
          <w:color w:val="0070C0"/>
          <w:spacing w:val="24"/>
        </w:rPr>
        <w:t xml:space="preserve"> </w:t>
      </w:r>
      <w:r w:rsidR="00F517EA" w:rsidRPr="00A213E0">
        <w:rPr>
          <w:rFonts w:ascii="Verdana" w:eastAsia="Verdana" w:hAnsi="Verdana" w:cs="Times New Roman"/>
          <w:color w:val="0070C0"/>
          <w:spacing w:val="-1"/>
        </w:rPr>
        <w:t>presente</w:t>
      </w:r>
      <w:r w:rsidR="00F517EA" w:rsidRPr="00A213E0">
        <w:rPr>
          <w:rFonts w:ascii="Verdana" w:eastAsia="Verdana" w:hAnsi="Verdana" w:cs="Times New Roman"/>
          <w:color w:val="0070C0"/>
          <w:spacing w:val="26"/>
        </w:rPr>
        <w:t xml:space="preserve"> </w:t>
      </w:r>
      <w:r w:rsidR="00F517EA" w:rsidRPr="00A213E0">
        <w:rPr>
          <w:rFonts w:ascii="Verdana" w:eastAsia="Verdana" w:hAnsi="Verdana" w:cs="Times New Roman"/>
          <w:color w:val="0070C0"/>
          <w:spacing w:val="-1"/>
        </w:rPr>
        <w:t>voto</w:t>
      </w:r>
      <w:r w:rsidR="00F517EA" w:rsidRPr="00A213E0">
        <w:rPr>
          <w:rFonts w:ascii="Verdana" w:eastAsia="Verdana" w:hAnsi="Verdana" w:cs="Times New Roman"/>
          <w:color w:val="0070C0"/>
          <w:spacing w:val="26"/>
        </w:rPr>
        <w:t xml:space="preserve"> </w:t>
      </w:r>
      <w:r w:rsidR="00F517EA" w:rsidRPr="00A213E0">
        <w:rPr>
          <w:rFonts w:ascii="Verdana" w:eastAsia="Verdana" w:hAnsi="Verdana" w:cs="Times New Roman"/>
          <w:color w:val="0070C0"/>
          <w:spacing w:val="-1"/>
        </w:rPr>
        <w:t>particular</w:t>
      </w:r>
      <w:r w:rsidR="00F517EA" w:rsidRPr="00A213E0">
        <w:rPr>
          <w:rFonts w:ascii="Verdana" w:eastAsia="Verdana" w:hAnsi="Verdana" w:cs="Times New Roman"/>
          <w:color w:val="0070C0"/>
          <w:spacing w:val="26"/>
        </w:rPr>
        <w:t xml:space="preserve"> </w:t>
      </w:r>
      <w:r w:rsidR="00F517EA" w:rsidRPr="00A213E0">
        <w:rPr>
          <w:rFonts w:ascii="Verdana" w:eastAsia="Verdana" w:hAnsi="Verdana" w:cs="Times New Roman"/>
          <w:color w:val="0070C0"/>
          <w:spacing w:val="-1"/>
        </w:rPr>
        <w:t>ha</w:t>
      </w:r>
      <w:r w:rsidR="00F517EA" w:rsidRPr="00A213E0">
        <w:rPr>
          <w:rFonts w:ascii="Verdana" w:eastAsia="Verdana" w:hAnsi="Verdana" w:cs="Times New Roman"/>
          <w:color w:val="0070C0"/>
          <w:spacing w:val="51"/>
        </w:rPr>
        <w:t xml:space="preserve"> </w:t>
      </w:r>
      <w:r w:rsidR="00F517EA" w:rsidRPr="00A213E0">
        <w:rPr>
          <w:rFonts w:ascii="Verdana" w:eastAsia="Verdana" w:hAnsi="Verdana" w:cs="Times New Roman"/>
          <w:color w:val="0070C0"/>
          <w:spacing w:val="-1"/>
        </w:rPr>
        <w:t>votado</w:t>
      </w:r>
      <w:r w:rsidR="00F517EA" w:rsidRPr="00A213E0">
        <w:rPr>
          <w:rFonts w:ascii="Verdana" w:eastAsia="Verdana" w:hAnsi="Verdana" w:cs="Times New Roman"/>
          <w:color w:val="0070C0"/>
          <w:spacing w:val="19"/>
        </w:rPr>
        <w:t xml:space="preserve"> </w:t>
      </w:r>
      <w:r w:rsidR="00F517EA" w:rsidRPr="00A213E0">
        <w:rPr>
          <w:rFonts w:ascii="Verdana" w:eastAsia="Verdana" w:hAnsi="Verdana" w:cs="Times New Roman"/>
          <w:color w:val="0070C0"/>
        </w:rPr>
        <w:t>en</w:t>
      </w:r>
      <w:r w:rsidR="00F517EA" w:rsidRPr="00A213E0">
        <w:rPr>
          <w:rFonts w:ascii="Verdana" w:eastAsia="Verdana" w:hAnsi="Verdana" w:cs="Times New Roman"/>
          <w:color w:val="0070C0"/>
          <w:spacing w:val="18"/>
        </w:rPr>
        <w:t xml:space="preserve"> </w:t>
      </w:r>
      <w:r w:rsidR="00F517EA" w:rsidRPr="00A213E0">
        <w:rPr>
          <w:rFonts w:ascii="Verdana" w:eastAsia="Verdana" w:hAnsi="Verdana" w:cs="Times New Roman"/>
          <w:color w:val="0070C0"/>
          <w:spacing w:val="-1"/>
        </w:rPr>
        <w:t>contra</w:t>
      </w:r>
      <w:r w:rsidR="00F517EA" w:rsidRPr="00A213E0">
        <w:rPr>
          <w:rFonts w:ascii="Verdana" w:eastAsia="Verdana" w:hAnsi="Verdana" w:cs="Times New Roman"/>
          <w:color w:val="0070C0"/>
          <w:spacing w:val="18"/>
        </w:rPr>
        <w:t xml:space="preserve"> </w:t>
      </w:r>
      <w:r w:rsidR="00F517EA" w:rsidRPr="00A213E0">
        <w:rPr>
          <w:rFonts w:ascii="Verdana" w:eastAsia="Verdana" w:hAnsi="Verdana" w:cs="Times New Roman"/>
          <w:color w:val="0070C0"/>
        </w:rPr>
        <w:t>del</w:t>
      </w:r>
      <w:r w:rsidR="00F517EA" w:rsidRPr="00A213E0">
        <w:rPr>
          <w:rFonts w:ascii="Verdana" w:eastAsia="Verdana" w:hAnsi="Verdana" w:cs="Times New Roman"/>
          <w:color w:val="0070C0"/>
          <w:spacing w:val="17"/>
        </w:rPr>
        <w:t xml:space="preserve"> </w:t>
      </w:r>
      <w:r w:rsidR="00F517EA" w:rsidRPr="00A213E0">
        <w:rPr>
          <w:rFonts w:ascii="Verdana" w:eastAsia="Verdana" w:hAnsi="Verdana" w:cs="Times New Roman"/>
          <w:color w:val="0070C0"/>
          <w:spacing w:val="-1"/>
        </w:rPr>
        <w:t>dictamen</w:t>
      </w:r>
      <w:r w:rsidR="00F517EA" w:rsidRPr="00A213E0">
        <w:rPr>
          <w:rFonts w:ascii="Verdana" w:eastAsia="Verdana" w:hAnsi="Verdana" w:cs="Times New Roman"/>
          <w:color w:val="0070C0"/>
          <w:spacing w:val="18"/>
        </w:rPr>
        <w:t xml:space="preserve"> </w:t>
      </w:r>
      <w:r w:rsidR="00F517EA" w:rsidRPr="00A213E0">
        <w:rPr>
          <w:rFonts w:ascii="Verdana" w:eastAsia="Verdana" w:hAnsi="Verdana" w:cs="Times New Roman"/>
          <w:color w:val="0070C0"/>
          <w:spacing w:val="-1"/>
        </w:rPr>
        <w:t>del</w:t>
      </w:r>
      <w:r w:rsidR="00F517EA" w:rsidRPr="00A213E0">
        <w:rPr>
          <w:rFonts w:ascii="Verdana" w:eastAsia="Verdana" w:hAnsi="Verdana" w:cs="Times New Roman"/>
          <w:color w:val="0070C0"/>
          <w:spacing w:val="20"/>
        </w:rPr>
        <w:t xml:space="preserve"> </w:t>
      </w:r>
      <w:r w:rsidR="00F517EA" w:rsidRPr="00A213E0">
        <w:rPr>
          <w:rFonts w:ascii="Verdana" w:eastAsia="Verdana" w:hAnsi="Verdana" w:cs="Times New Roman"/>
          <w:color w:val="0070C0"/>
          <w:spacing w:val="-1"/>
        </w:rPr>
        <w:t>proyecto</w:t>
      </w:r>
      <w:r w:rsidR="00F517EA" w:rsidRPr="00A213E0">
        <w:rPr>
          <w:rFonts w:ascii="Verdana" w:eastAsia="Verdana" w:hAnsi="Verdana" w:cs="Times New Roman"/>
          <w:color w:val="0070C0"/>
          <w:spacing w:val="19"/>
        </w:rPr>
        <w:t xml:space="preserve"> </w:t>
      </w:r>
      <w:r w:rsidR="00F517EA" w:rsidRPr="00A213E0">
        <w:rPr>
          <w:rFonts w:ascii="Verdana" w:eastAsia="Verdana" w:hAnsi="Verdana" w:cs="Times New Roman"/>
          <w:color w:val="0070C0"/>
          <w:spacing w:val="-1"/>
        </w:rPr>
        <w:t>de</w:t>
      </w:r>
      <w:r w:rsidR="00F517EA" w:rsidRPr="00A213E0">
        <w:rPr>
          <w:rFonts w:ascii="Verdana" w:eastAsia="Verdana" w:hAnsi="Verdana" w:cs="Times New Roman"/>
          <w:color w:val="0070C0"/>
          <w:spacing w:val="19"/>
        </w:rPr>
        <w:t xml:space="preserve"> </w:t>
      </w:r>
      <w:r w:rsidR="00F517EA" w:rsidRPr="00A213E0">
        <w:rPr>
          <w:rFonts w:ascii="Verdana" w:eastAsia="Verdana" w:hAnsi="Verdana" w:cs="Times New Roman"/>
          <w:color w:val="0070C0"/>
          <w:spacing w:val="-1"/>
        </w:rPr>
        <w:t>Orden</w:t>
      </w:r>
      <w:r w:rsidR="00F517EA" w:rsidRPr="00A213E0">
        <w:rPr>
          <w:rFonts w:ascii="Verdana" w:eastAsia="Verdana" w:hAnsi="Verdana" w:cs="Times New Roman"/>
          <w:color w:val="0070C0"/>
          <w:spacing w:val="18"/>
        </w:rPr>
        <w:t xml:space="preserve"> </w:t>
      </w:r>
      <w:r w:rsidR="00F517EA" w:rsidRPr="00A213E0">
        <w:rPr>
          <w:rFonts w:ascii="Verdana" w:eastAsia="Verdana" w:hAnsi="Verdana" w:cs="Times New Roman"/>
          <w:color w:val="0070C0"/>
          <w:spacing w:val="-1"/>
        </w:rPr>
        <w:t>que</w:t>
      </w:r>
      <w:r w:rsidR="00F517EA" w:rsidRPr="00A213E0">
        <w:rPr>
          <w:rFonts w:ascii="Verdana" w:eastAsia="Verdana" w:hAnsi="Verdana" w:cs="Times New Roman"/>
          <w:color w:val="0070C0"/>
          <w:spacing w:val="19"/>
        </w:rPr>
        <w:t xml:space="preserve"> </w:t>
      </w:r>
      <w:r w:rsidR="00F517EA" w:rsidRPr="00A213E0">
        <w:rPr>
          <w:rFonts w:ascii="Verdana" w:eastAsia="Verdana" w:hAnsi="Verdana" w:cs="Times New Roman"/>
          <w:color w:val="0070C0"/>
          <w:spacing w:val="-1"/>
        </w:rPr>
        <w:t>nos</w:t>
      </w:r>
      <w:r w:rsidR="00F517EA" w:rsidRPr="00A213E0">
        <w:rPr>
          <w:rFonts w:ascii="Verdana" w:eastAsia="Verdana" w:hAnsi="Verdana" w:cs="Times New Roman"/>
          <w:color w:val="0070C0"/>
          <w:spacing w:val="18"/>
        </w:rPr>
        <w:t xml:space="preserve"> </w:t>
      </w:r>
      <w:r w:rsidR="00F517EA" w:rsidRPr="00A213E0">
        <w:rPr>
          <w:rFonts w:ascii="Verdana" w:eastAsia="Verdana" w:hAnsi="Verdana" w:cs="Times New Roman"/>
          <w:color w:val="0070C0"/>
          <w:spacing w:val="-1"/>
        </w:rPr>
        <w:t>ocupa</w:t>
      </w:r>
      <w:r w:rsidR="00F51653" w:rsidRPr="00A213E0">
        <w:rPr>
          <w:rFonts w:ascii="Verdana" w:eastAsia="Verdana" w:hAnsi="Verdana" w:cs="Times New Roman"/>
          <w:color w:val="0070C0"/>
          <w:spacing w:val="-1"/>
        </w:rPr>
        <w:t xml:space="preserve"> </w:t>
      </w:r>
      <w:r w:rsidR="00F517EA" w:rsidRPr="00A213E0">
        <w:rPr>
          <w:rFonts w:ascii="Verdana" w:eastAsia="Verdana" w:hAnsi="Verdana" w:cs="Times New Roman"/>
          <w:color w:val="0070C0"/>
          <w:spacing w:val="-1"/>
        </w:rPr>
        <w:t>por</w:t>
      </w:r>
      <w:r w:rsidR="00F517EA" w:rsidRPr="00A213E0">
        <w:rPr>
          <w:rFonts w:ascii="Verdana" w:eastAsia="Verdana" w:hAnsi="Verdana" w:cs="Times New Roman"/>
          <w:color w:val="0070C0"/>
          <w:spacing w:val="82"/>
        </w:rPr>
        <w:t xml:space="preserve"> </w:t>
      </w:r>
      <w:r w:rsidR="00F517EA" w:rsidRPr="00A213E0">
        <w:rPr>
          <w:rFonts w:ascii="Verdana" w:eastAsia="Verdana" w:hAnsi="Verdana" w:cs="Times New Roman"/>
          <w:color w:val="0070C0"/>
          <w:spacing w:val="-1"/>
        </w:rPr>
        <w:t>las</w:t>
      </w:r>
      <w:r w:rsidR="00F517EA" w:rsidRPr="00A213E0">
        <w:rPr>
          <w:rFonts w:ascii="Verdana" w:eastAsia="Verdana" w:hAnsi="Verdana" w:cs="Times New Roman"/>
          <w:color w:val="0070C0"/>
          <w:spacing w:val="42"/>
        </w:rPr>
        <w:t xml:space="preserve"> </w:t>
      </w:r>
      <w:r w:rsidR="00F517EA" w:rsidRPr="00A213E0">
        <w:rPr>
          <w:rFonts w:ascii="Verdana" w:eastAsia="Verdana" w:hAnsi="Verdana" w:cs="Times New Roman"/>
          <w:color w:val="0070C0"/>
          <w:spacing w:val="-1"/>
        </w:rPr>
        <w:t>consideraciones que</w:t>
      </w:r>
      <w:r w:rsidR="00F517EA" w:rsidRPr="00A213E0">
        <w:rPr>
          <w:rFonts w:ascii="Verdana" w:eastAsia="Verdana" w:hAnsi="Verdana" w:cs="Times New Roman"/>
          <w:color w:val="0070C0"/>
          <w:spacing w:val="2"/>
        </w:rPr>
        <w:t xml:space="preserve"> </w:t>
      </w:r>
      <w:r w:rsidR="00F517EA" w:rsidRPr="00A213E0">
        <w:rPr>
          <w:rFonts w:ascii="Verdana" w:eastAsia="Verdana" w:hAnsi="Verdana" w:cs="Times New Roman"/>
          <w:color w:val="0070C0"/>
          <w:spacing w:val="-1"/>
        </w:rPr>
        <w:t>figuran</w:t>
      </w:r>
      <w:r w:rsidR="00F517EA" w:rsidRPr="00A213E0">
        <w:rPr>
          <w:rFonts w:ascii="Verdana" w:eastAsia="Verdana" w:hAnsi="Verdana" w:cs="Times New Roman"/>
          <w:color w:val="0070C0"/>
          <w:spacing w:val="1"/>
        </w:rPr>
        <w:t xml:space="preserve"> </w:t>
      </w:r>
      <w:r w:rsidR="00F517EA" w:rsidRPr="00A213E0">
        <w:rPr>
          <w:rFonts w:ascii="Verdana" w:eastAsia="Verdana" w:hAnsi="Verdana" w:cs="Times New Roman"/>
          <w:color w:val="0070C0"/>
        </w:rPr>
        <w:t>a</w:t>
      </w:r>
      <w:r w:rsidR="00F517EA" w:rsidRPr="00A213E0">
        <w:rPr>
          <w:rFonts w:ascii="Verdana" w:eastAsia="Verdana" w:hAnsi="Verdana" w:cs="Times New Roman"/>
          <w:color w:val="0070C0"/>
          <w:spacing w:val="-1"/>
        </w:rPr>
        <w:t xml:space="preserve"> continuación.</w:t>
      </w:r>
    </w:p>
    <w:p w:rsidR="00F51653" w:rsidRPr="00A213E0" w:rsidRDefault="00F51653" w:rsidP="00A213E0">
      <w:pPr>
        <w:ind w:left="-567"/>
        <w:jc w:val="both"/>
        <w:rPr>
          <w:rFonts w:ascii="Verdana" w:hAnsi="Verdana"/>
          <w:color w:val="0070C0"/>
        </w:rPr>
      </w:pPr>
      <w:r w:rsidRPr="00A213E0">
        <w:rPr>
          <w:rFonts w:ascii="Verdana" w:hAnsi="Verdana"/>
          <w:color w:val="0070C0"/>
        </w:rPr>
        <w:t xml:space="preserve">Una hora antes del comienzo de la Comisión Permanente del 16 de enero del presente año que tenía que analizar el Proyecto de orden por la que se modifica la Orden ECD/724/2015, de 22 de abril, por la que se regula la admisión de alumnos en los centros públicos y privados concertados que imparten el segundo ciclo de educación infantil, educación primaria, educación secundaria y bachillerato en las Ciudades de Ceuta y Melilla, el MECD emitió </w:t>
      </w:r>
      <w:r w:rsidR="003A21C3" w:rsidRPr="00A213E0">
        <w:rPr>
          <w:rFonts w:ascii="Verdana" w:hAnsi="Verdana"/>
          <w:color w:val="0070C0"/>
        </w:rPr>
        <w:t xml:space="preserve">un comunicado </w:t>
      </w:r>
      <w:r w:rsidRPr="00A213E0">
        <w:rPr>
          <w:rFonts w:ascii="Verdana" w:hAnsi="Verdana"/>
          <w:color w:val="0070C0"/>
        </w:rPr>
        <w:t xml:space="preserve">a </w:t>
      </w:r>
      <w:r w:rsidR="003A21C3" w:rsidRPr="00A213E0">
        <w:rPr>
          <w:rFonts w:ascii="Verdana" w:hAnsi="Verdana"/>
          <w:color w:val="0070C0"/>
        </w:rPr>
        <w:t>la prensa</w:t>
      </w:r>
      <w:r w:rsidRPr="00A213E0">
        <w:rPr>
          <w:rFonts w:ascii="Verdana" w:hAnsi="Verdana"/>
          <w:color w:val="0070C0"/>
        </w:rPr>
        <w:t xml:space="preserve"> exponiendo sus </w:t>
      </w:r>
      <w:r w:rsidR="003A21C3" w:rsidRPr="00A213E0">
        <w:rPr>
          <w:rFonts w:ascii="Verdana" w:hAnsi="Verdana"/>
          <w:color w:val="0070C0"/>
        </w:rPr>
        <w:t>criterios</w:t>
      </w:r>
      <w:r w:rsidRPr="00A213E0">
        <w:rPr>
          <w:rFonts w:ascii="Verdana" w:hAnsi="Verdana"/>
          <w:color w:val="0070C0"/>
        </w:rPr>
        <w:t xml:space="preserve"> por la cual presentaba el proyecto citado.</w:t>
      </w:r>
    </w:p>
    <w:p w:rsidR="00EF44E4" w:rsidRDefault="00EF44E4" w:rsidP="00A213E0">
      <w:pPr>
        <w:ind w:left="-567"/>
        <w:jc w:val="both"/>
        <w:rPr>
          <w:noProof/>
          <w:color w:val="0070C0"/>
          <w:lang w:eastAsia="es-ES"/>
        </w:rPr>
      </w:pPr>
      <w:r>
        <w:rPr>
          <w:noProof/>
          <w:color w:val="0070C0"/>
          <w:lang w:eastAsia="es-ES"/>
        </w:rPr>
        <w:t>[…]</w:t>
      </w:r>
    </w:p>
    <w:p w:rsidR="00111B51" w:rsidRPr="00A213E0" w:rsidRDefault="00111B51" w:rsidP="00A213E0">
      <w:pPr>
        <w:ind w:left="-567"/>
        <w:jc w:val="both"/>
        <w:rPr>
          <w:noProof/>
          <w:color w:val="0070C0"/>
          <w:lang w:eastAsia="es-ES"/>
        </w:rPr>
      </w:pPr>
      <w:r w:rsidRPr="00A213E0">
        <w:rPr>
          <w:noProof/>
          <w:color w:val="0070C0"/>
          <w:lang w:eastAsia="es-ES"/>
        </w:rPr>
        <w:t>El Informe 2014 del Consejo Escolar del Estado (pág, 50 y 51), dice: “En el análisis de los datos de PISA 2009 los resultados fueron particularmente llamativos por el bajo índice ESCS de los centros educativos (-0,55), en especial los centros públicos (-0,76), el alto índice de los centros privados concertados (+0,22), el mayor de todos los ámbitos de gestión educativa y la mayor brecha socioeconómica y cultural entre los centros públicos y privados concertados (0,98)”.</w:t>
      </w:r>
      <w:r w:rsidR="005D3E67" w:rsidRPr="00A213E0">
        <w:rPr>
          <w:noProof/>
          <w:color w:val="0070C0"/>
          <w:lang w:eastAsia="es-ES"/>
        </w:rPr>
        <w:t xml:space="preserve"> En informes posteriores tambien aparecen estos datos.</w:t>
      </w:r>
    </w:p>
    <w:p w:rsidR="00111B51" w:rsidRPr="00A213E0" w:rsidRDefault="005D3E67" w:rsidP="00A213E0">
      <w:pPr>
        <w:ind w:left="-567"/>
        <w:jc w:val="both"/>
        <w:rPr>
          <w:noProof/>
          <w:color w:val="0070C0"/>
          <w:lang w:eastAsia="es-ES"/>
        </w:rPr>
      </w:pPr>
      <w:r w:rsidRPr="00A213E0">
        <w:rPr>
          <w:noProof/>
          <w:color w:val="0070C0"/>
          <w:lang w:eastAsia="es-ES"/>
        </w:rPr>
        <w:t>L</w:t>
      </w:r>
      <w:r w:rsidR="00111B51" w:rsidRPr="00A213E0">
        <w:rPr>
          <w:noProof/>
          <w:color w:val="0070C0"/>
          <w:lang w:eastAsia="es-ES"/>
        </w:rPr>
        <w:t xml:space="preserve">os centros concertados de Ceuta y Melilla obtienen el mayor índice socioeconómico y cultural de toda España, el </w:t>
      </w:r>
      <w:r w:rsidR="003A21C3" w:rsidRPr="00A213E0">
        <w:rPr>
          <w:noProof/>
          <w:color w:val="0070C0"/>
          <w:lang w:eastAsia="es-ES"/>
        </w:rPr>
        <w:t xml:space="preserve">+ </w:t>
      </w:r>
      <w:r w:rsidR="00111B51" w:rsidRPr="00A213E0">
        <w:rPr>
          <w:noProof/>
          <w:color w:val="0070C0"/>
          <w:lang w:eastAsia="es-ES"/>
        </w:rPr>
        <w:t>0,22 (incluso más alto que los registrados en Madrid o Navarra), muy superior a la media estatal que es de 0,07, mientras que los centros públicos obtienen el penúltimo peor índice (-0,76), solo superado</w:t>
      </w:r>
      <w:r w:rsidR="003A21C3" w:rsidRPr="00A213E0">
        <w:rPr>
          <w:noProof/>
          <w:color w:val="0070C0"/>
          <w:lang w:eastAsia="es-ES"/>
        </w:rPr>
        <w:t xml:space="preserve"> escasamente</w:t>
      </w:r>
      <w:r w:rsidR="00111B51" w:rsidRPr="00A213E0">
        <w:rPr>
          <w:noProof/>
          <w:color w:val="0070C0"/>
          <w:lang w:eastAsia="es-ES"/>
        </w:rPr>
        <w:t xml:space="preserve"> por Canarias. Estos resultados hacen que Ceuta y Melilla presenten la mayor brecha socioeconómica y cultural (0,98) entre sus centros concertados y públicos. La media nacional es de 0,62 y la de los países de la OCDE, de 0,43.</w:t>
      </w:r>
    </w:p>
    <w:p w:rsidR="00DC24D3" w:rsidRPr="00A213E0" w:rsidRDefault="00DC24D3" w:rsidP="00A213E0">
      <w:pPr>
        <w:ind w:left="-567"/>
        <w:jc w:val="both"/>
        <w:rPr>
          <w:noProof/>
          <w:color w:val="0070C0"/>
          <w:lang w:eastAsia="es-ES"/>
        </w:rPr>
      </w:pPr>
      <w:r w:rsidRPr="00A213E0">
        <w:rPr>
          <w:noProof/>
          <w:color w:val="0070C0"/>
          <w:lang w:eastAsia="es-ES"/>
        </w:rPr>
        <w:t>No disponemos de datos posteriores, ya que e</w:t>
      </w:r>
      <w:r w:rsidR="00F32A42" w:rsidRPr="00A213E0">
        <w:rPr>
          <w:noProof/>
          <w:color w:val="0070C0"/>
          <w:lang w:eastAsia="es-ES"/>
        </w:rPr>
        <w:t>l</w:t>
      </w:r>
      <w:bookmarkStart w:id="0" w:name="_GoBack"/>
      <w:bookmarkEnd w:id="0"/>
      <w:r w:rsidRPr="00A213E0">
        <w:rPr>
          <w:noProof/>
          <w:color w:val="0070C0"/>
          <w:lang w:eastAsia="es-ES"/>
        </w:rPr>
        <w:t xml:space="preserve"> MECD se negó </w:t>
      </w:r>
      <w:r w:rsidR="003A21C3" w:rsidRPr="00A213E0">
        <w:rPr>
          <w:noProof/>
          <w:color w:val="0070C0"/>
          <w:lang w:eastAsia="es-ES"/>
        </w:rPr>
        <w:t xml:space="preserve">a </w:t>
      </w:r>
      <w:r w:rsidRPr="00A213E0">
        <w:rPr>
          <w:noProof/>
          <w:color w:val="0070C0"/>
          <w:lang w:eastAsia="es-ES"/>
        </w:rPr>
        <w:t xml:space="preserve">que su ámbito de </w:t>
      </w:r>
      <w:r w:rsidR="003A21C3" w:rsidRPr="00A213E0">
        <w:rPr>
          <w:noProof/>
          <w:color w:val="0070C0"/>
          <w:lang w:eastAsia="es-ES"/>
        </w:rPr>
        <w:t xml:space="preserve">gestión  (Ceuta y Melilla) </w:t>
      </w:r>
      <w:r w:rsidRPr="00A213E0">
        <w:rPr>
          <w:noProof/>
          <w:color w:val="0070C0"/>
          <w:lang w:eastAsia="es-ES"/>
        </w:rPr>
        <w:t>realizara los informes PISA de 2012 y 2015, como bien refleja</w:t>
      </w:r>
      <w:r w:rsidR="003A21C3" w:rsidRPr="00A213E0">
        <w:rPr>
          <w:noProof/>
          <w:color w:val="0070C0"/>
          <w:lang w:eastAsia="es-ES"/>
        </w:rPr>
        <w:t>n</w:t>
      </w:r>
      <w:r w:rsidRPr="00A213E0">
        <w:rPr>
          <w:noProof/>
          <w:color w:val="0070C0"/>
          <w:lang w:eastAsia="es-ES"/>
        </w:rPr>
        <w:t xml:space="preserve"> los Informes</w:t>
      </w:r>
      <w:r w:rsidR="003A21C3" w:rsidRPr="00A213E0">
        <w:rPr>
          <w:noProof/>
          <w:color w:val="0070C0"/>
          <w:lang w:eastAsia="es-ES"/>
        </w:rPr>
        <w:t xml:space="preserve"> posteriores</w:t>
      </w:r>
      <w:r w:rsidRPr="00A213E0">
        <w:rPr>
          <w:noProof/>
          <w:color w:val="0070C0"/>
          <w:lang w:eastAsia="es-ES"/>
        </w:rPr>
        <w:t xml:space="preserve"> del Consejo Escolar del Estado </w:t>
      </w:r>
    </w:p>
    <w:p w:rsidR="00111B51" w:rsidRPr="00A213E0" w:rsidRDefault="005D3E67" w:rsidP="00A213E0">
      <w:pPr>
        <w:ind w:left="-567"/>
        <w:jc w:val="both"/>
        <w:rPr>
          <w:noProof/>
          <w:color w:val="0070C0"/>
          <w:lang w:eastAsia="es-ES"/>
        </w:rPr>
      </w:pPr>
      <w:r w:rsidRPr="00A213E0">
        <w:rPr>
          <w:noProof/>
          <w:color w:val="0070C0"/>
          <w:lang w:eastAsia="es-ES"/>
        </w:rPr>
        <w:t>Si a eso le añadimos la d</w:t>
      </w:r>
      <w:r w:rsidR="00111B51" w:rsidRPr="00A213E0">
        <w:rPr>
          <w:noProof/>
          <w:color w:val="0070C0"/>
          <w:lang w:eastAsia="es-ES"/>
        </w:rPr>
        <w:t>istribución del alumnado extran</w:t>
      </w:r>
      <w:r w:rsidR="003A21C3" w:rsidRPr="00A213E0">
        <w:rPr>
          <w:noProof/>
          <w:color w:val="0070C0"/>
          <w:lang w:eastAsia="es-ES"/>
        </w:rPr>
        <w:t>jero por titularidad del centro en el</w:t>
      </w:r>
      <w:r w:rsidR="00111B51" w:rsidRPr="00A213E0">
        <w:rPr>
          <w:noProof/>
          <w:color w:val="0070C0"/>
          <w:lang w:eastAsia="es-ES"/>
        </w:rPr>
        <w:t xml:space="preserve"> Curso 2010-2011 y </w:t>
      </w:r>
      <w:r w:rsidR="003A21C3" w:rsidRPr="00A213E0">
        <w:rPr>
          <w:noProof/>
          <w:color w:val="0070C0"/>
          <w:lang w:eastAsia="es-ES"/>
        </w:rPr>
        <w:t xml:space="preserve">en el </w:t>
      </w:r>
      <w:r w:rsidR="00111B51" w:rsidRPr="00A213E0">
        <w:rPr>
          <w:noProof/>
          <w:color w:val="0070C0"/>
          <w:lang w:eastAsia="es-ES"/>
        </w:rPr>
        <w:t xml:space="preserve">Curso 2015-2016 </w:t>
      </w:r>
      <w:r w:rsidRPr="00A213E0">
        <w:rPr>
          <w:noProof/>
          <w:color w:val="0070C0"/>
          <w:lang w:eastAsia="es-ES"/>
        </w:rPr>
        <w:t>nos encontramos que, a nivel estatal, si ya los centros concertados matriculan a menos de</w:t>
      </w:r>
      <w:r w:rsidR="003A21C3" w:rsidRPr="00A213E0">
        <w:rPr>
          <w:noProof/>
          <w:color w:val="0070C0"/>
          <w:lang w:eastAsia="es-ES"/>
        </w:rPr>
        <w:t xml:space="preserve">l </w:t>
      </w:r>
      <w:r w:rsidRPr="00A213E0">
        <w:rPr>
          <w:noProof/>
          <w:color w:val="0070C0"/>
          <w:lang w:eastAsia="es-ES"/>
        </w:rPr>
        <w:t xml:space="preserve"> 20 % de este alumnado</w:t>
      </w:r>
      <w:r w:rsidR="00DC24D3" w:rsidRPr="00A213E0">
        <w:rPr>
          <w:noProof/>
          <w:color w:val="0070C0"/>
          <w:lang w:eastAsia="es-ES"/>
        </w:rPr>
        <w:t>, en Ceuta y Melilla apenas sobrepasan el 1%.</w:t>
      </w:r>
    </w:p>
    <w:p w:rsidR="005D3E67" w:rsidRPr="00A213E0" w:rsidRDefault="005D3E67" w:rsidP="00A213E0">
      <w:pPr>
        <w:ind w:left="-567"/>
        <w:jc w:val="both"/>
        <w:rPr>
          <w:noProof/>
          <w:color w:val="0070C0"/>
          <w:lang w:eastAsia="es-ES"/>
        </w:rPr>
      </w:pPr>
      <w:r w:rsidRPr="00A213E0">
        <w:rPr>
          <w:noProof/>
          <w:color w:val="0070C0"/>
          <w:lang w:eastAsia="es-ES"/>
        </w:rPr>
        <w:lastRenderedPageBreak/>
        <w:drawing>
          <wp:inline distT="0" distB="0" distL="0" distR="0">
            <wp:extent cx="5181600" cy="2046824"/>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print"/>
                    <a:srcRect l="18695" t="10644" r="18695" b="45384"/>
                    <a:stretch/>
                  </pic:blipFill>
                  <pic:spPr bwMode="auto">
                    <a:xfrm>
                      <a:off x="0" y="0"/>
                      <a:ext cx="5180993" cy="2046584"/>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B10CC0" w:rsidRPr="00A213E0" w:rsidRDefault="00DC24D3" w:rsidP="00A213E0">
      <w:pPr>
        <w:ind w:left="-567"/>
        <w:jc w:val="both"/>
        <w:rPr>
          <w:rFonts w:ascii="Verdana" w:hAnsi="Verdana"/>
          <w:color w:val="0070C0"/>
        </w:rPr>
      </w:pPr>
      <w:r w:rsidRPr="00A213E0">
        <w:rPr>
          <w:rFonts w:ascii="Verdana" w:hAnsi="Verdana"/>
          <w:color w:val="0070C0"/>
        </w:rPr>
        <w:t>Estos datos</w:t>
      </w:r>
      <w:r w:rsidR="00B10CC0" w:rsidRPr="00A213E0">
        <w:rPr>
          <w:rFonts w:ascii="Verdana" w:hAnsi="Verdana"/>
          <w:color w:val="0070C0"/>
        </w:rPr>
        <w:t>, que incluso, disminuyen en los últimos años,</w:t>
      </w:r>
      <w:r w:rsidRPr="00A213E0">
        <w:rPr>
          <w:rFonts w:ascii="Verdana" w:hAnsi="Verdana"/>
          <w:color w:val="0070C0"/>
        </w:rPr>
        <w:t xml:space="preserve"> constatan la brecha tan significativa que se está generando entre los centros públicos y los concertados (también financiados con fondos públicos)</w:t>
      </w:r>
      <w:r w:rsidR="00B10CC0" w:rsidRPr="00A213E0">
        <w:rPr>
          <w:rFonts w:ascii="Verdana" w:hAnsi="Verdana"/>
          <w:color w:val="0070C0"/>
        </w:rPr>
        <w:t>.</w:t>
      </w:r>
    </w:p>
    <w:p w:rsidR="00B10CC0" w:rsidRPr="00A213E0" w:rsidRDefault="00E159F3" w:rsidP="00A213E0">
      <w:pPr>
        <w:ind w:left="-567"/>
        <w:jc w:val="both"/>
        <w:rPr>
          <w:rFonts w:ascii="Verdana" w:hAnsi="Verdana"/>
          <w:color w:val="0070C0"/>
        </w:rPr>
      </w:pPr>
      <w:r w:rsidRPr="00A213E0">
        <w:rPr>
          <w:rFonts w:ascii="Verdana" w:hAnsi="Verdana"/>
          <w:color w:val="0070C0"/>
        </w:rPr>
        <w:t>Por destacar algún elemento del proyecto</w:t>
      </w:r>
      <w:r w:rsidR="00B10CC0" w:rsidRPr="00A213E0">
        <w:rPr>
          <w:rFonts w:ascii="Verdana" w:hAnsi="Verdana"/>
          <w:color w:val="0070C0"/>
        </w:rPr>
        <w:t>, consideramos que:</w:t>
      </w:r>
    </w:p>
    <w:p w:rsidR="00B10CC0" w:rsidRPr="00A213E0" w:rsidRDefault="00E159F3" w:rsidP="00A213E0">
      <w:pPr>
        <w:ind w:left="-567"/>
        <w:jc w:val="both"/>
        <w:rPr>
          <w:rFonts w:ascii="Verdana" w:hAnsi="Verdana"/>
          <w:color w:val="0070C0"/>
        </w:rPr>
      </w:pPr>
      <w:r w:rsidRPr="00A213E0">
        <w:rPr>
          <w:rFonts w:ascii="Verdana" w:hAnsi="Verdana"/>
          <w:color w:val="0070C0"/>
        </w:rPr>
        <w:t>En e</w:t>
      </w:r>
      <w:r w:rsidR="00B10CC0" w:rsidRPr="00A213E0">
        <w:rPr>
          <w:rFonts w:ascii="Verdana" w:hAnsi="Verdana"/>
          <w:color w:val="0070C0"/>
        </w:rPr>
        <w:t>l apartado f,) Otras circunstancias,</w:t>
      </w:r>
      <w:r w:rsidRPr="00A213E0">
        <w:rPr>
          <w:color w:val="0070C0"/>
        </w:rPr>
        <w:t xml:space="preserve"> “</w:t>
      </w:r>
      <w:r w:rsidRPr="00A213E0">
        <w:rPr>
          <w:rFonts w:ascii="Verdana" w:hAnsi="Verdana"/>
          <w:color w:val="0070C0"/>
        </w:rPr>
        <w:t>considerar valorar la condición de antiguo alumno, del centro para el que se solicita plaza, del padre, madre o de los representantes legales del alumno, o alguno de los hermanos del solicitante”</w:t>
      </w:r>
      <w:r w:rsidR="002C3FBC" w:rsidRPr="00A213E0">
        <w:rPr>
          <w:rFonts w:ascii="Verdana" w:hAnsi="Verdana"/>
          <w:color w:val="0070C0"/>
        </w:rPr>
        <w:t>, “haber estado matriculado previamente en el centro en otra etapa educativa”</w:t>
      </w:r>
      <w:r w:rsidRPr="00A213E0">
        <w:rPr>
          <w:rFonts w:ascii="Verdana" w:hAnsi="Verdana"/>
          <w:color w:val="0070C0"/>
        </w:rPr>
        <w:t xml:space="preserve"> o la “condición de trabajador en el centro para el que se solicita plaza, de  familiares del alumno hasta el tercer grado de consanguinidad o afinidad”, creemos que vulnera</w:t>
      </w:r>
      <w:r w:rsidR="00B10CC0" w:rsidRPr="00A213E0">
        <w:rPr>
          <w:rFonts w:ascii="Verdana" w:hAnsi="Verdana"/>
          <w:color w:val="0070C0"/>
        </w:rPr>
        <w:t xml:space="preserve"> el artículo 84 y 86 de la Ley Orgánica 2/2006, de 3 de mayo, de Educación, modificada por la Ley Orgánica 8/2013, de 9 de diciembre, para la mejora de la calidad educativa, y el art. 4 del Real Decreto 1635/2009, de 30 de octubre, que regula la admisión de los alumnos en centros </w:t>
      </w:r>
      <w:r w:rsidRPr="00A213E0">
        <w:rPr>
          <w:rFonts w:ascii="Verdana" w:hAnsi="Verdana"/>
          <w:color w:val="0070C0"/>
        </w:rPr>
        <w:t>públicos y privados concertados</w:t>
      </w:r>
      <w:r w:rsidR="00B10CC0" w:rsidRPr="00A213E0">
        <w:rPr>
          <w:rFonts w:ascii="Verdana" w:hAnsi="Verdana"/>
          <w:color w:val="0070C0"/>
        </w:rPr>
        <w:t>.</w:t>
      </w:r>
    </w:p>
    <w:p w:rsidR="00F51653" w:rsidRPr="00A213E0" w:rsidRDefault="00B10CC0" w:rsidP="00A213E0">
      <w:pPr>
        <w:ind w:left="-567"/>
        <w:jc w:val="both"/>
        <w:rPr>
          <w:rFonts w:ascii="Verdana" w:hAnsi="Verdana"/>
          <w:color w:val="0070C0"/>
        </w:rPr>
      </w:pPr>
      <w:r w:rsidRPr="00A213E0">
        <w:rPr>
          <w:rFonts w:ascii="Verdana" w:hAnsi="Verdana"/>
          <w:color w:val="0070C0"/>
        </w:rPr>
        <w:t xml:space="preserve">Las circunstancias que se incluyen, en nuestra opinión, van dirigidas a mantener y potenciar la actual distribución de plazas, perpetuando el privilegio en los centros </w:t>
      </w:r>
      <w:r w:rsidR="003A21C3" w:rsidRPr="00A213E0">
        <w:rPr>
          <w:rFonts w:ascii="Verdana" w:hAnsi="Verdana"/>
          <w:color w:val="0070C0"/>
        </w:rPr>
        <w:t xml:space="preserve">concertados </w:t>
      </w:r>
      <w:r w:rsidRPr="00A213E0">
        <w:rPr>
          <w:rFonts w:ascii="Verdana" w:hAnsi="Verdana"/>
          <w:color w:val="0070C0"/>
        </w:rPr>
        <w:t xml:space="preserve">de mayor solicitud a </w:t>
      </w:r>
      <w:r w:rsidR="003A21C3" w:rsidRPr="00A213E0">
        <w:rPr>
          <w:rFonts w:ascii="Verdana" w:hAnsi="Verdana"/>
          <w:color w:val="0070C0"/>
        </w:rPr>
        <w:t>sectores</w:t>
      </w:r>
      <w:r w:rsidR="00E159F3" w:rsidRPr="00A213E0">
        <w:rPr>
          <w:rFonts w:ascii="Verdana" w:hAnsi="Verdana"/>
          <w:color w:val="0070C0"/>
        </w:rPr>
        <w:t xml:space="preserve"> con alto nivel socioeconómico.</w:t>
      </w:r>
    </w:p>
    <w:p w:rsidR="00942373" w:rsidRPr="00A213E0" w:rsidRDefault="00F517EA" w:rsidP="00A213E0">
      <w:pPr>
        <w:ind w:left="-567"/>
        <w:jc w:val="both"/>
        <w:rPr>
          <w:color w:val="0070C0"/>
        </w:rPr>
      </w:pPr>
      <w:r w:rsidRPr="00A213E0">
        <w:rPr>
          <w:rFonts w:ascii="Verdana" w:hAnsi="Verdana"/>
          <w:color w:val="0070C0"/>
        </w:rPr>
        <w:t>1</w:t>
      </w:r>
      <w:r w:rsidR="00F51653" w:rsidRPr="00A213E0">
        <w:rPr>
          <w:rFonts w:ascii="Verdana" w:hAnsi="Verdana"/>
          <w:color w:val="0070C0"/>
        </w:rPr>
        <w:t>8</w:t>
      </w:r>
      <w:r w:rsidR="00A147F4" w:rsidRPr="00A213E0">
        <w:rPr>
          <w:rFonts w:ascii="Verdana" w:hAnsi="Verdana"/>
          <w:color w:val="0070C0"/>
        </w:rPr>
        <w:t xml:space="preserve"> de </w:t>
      </w:r>
      <w:r w:rsidRPr="00A213E0">
        <w:rPr>
          <w:rFonts w:ascii="Verdana" w:hAnsi="Verdana"/>
          <w:color w:val="0070C0"/>
        </w:rPr>
        <w:t>enero</w:t>
      </w:r>
      <w:r w:rsidR="00A147F4" w:rsidRPr="00A213E0">
        <w:rPr>
          <w:rFonts w:ascii="Verdana" w:hAnsi="Verdana"/>
          <w:color w:val="0070C0"/>
        </w:rPr>
        <w:t xml:space="preserve"> de 201</w:t>
      </w:r>
      <w:r w:rsidRPr="00A213E0">
        <w:rPr>
          <w:rFonts w:ascii="Verdana" w:hAnsi="Verdana"/>
          <w:color w:val="0070C0"/>
        </w:rPr>
        <w:t>8</w:t>
      </w:r>
    </w:p>
    <w:sectPr w:rsidR="00942373" w:rsidRPr="00A213E0" w:rsidSect="00EF44E4">
      <w:pgSz w:w="11906" w:h="16838"/>
      <w:pgMar w:top="851" w:right="1701"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5543F"/>
    <w:multiLevelType w:val="hybridMultilevel"/>
    <w:tmpl w:val="7214E4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3C168CD"/>
    <w:multiLevelType w:val="hybridMultilevel"/>
    <w:tmpl w:val="BA469F6E"/>
    <w:lvl w:ilvl="0" w:tplc="E228CBB8">
      <w:start w:val="1"/>
      <w:numFmt w:val="bullet"/>
      <w:lvlText w:val=""/>
      <w:lvlJc w:val="left"/>
      <w:pPr>
        <w:ind w:left="821" w:hanging="360"/>
      </w:pPr>
      <w:rPr>
        <w:rFonts w:ascii="Symbol" w:eastAsia="Symbol" w:hAnsi="Symbol" w:hint="default"/>
        <w:w w:val="76"/>
        <w:sz w:val="24"/>
        <w:szCs w:val="24"/>
      </w:rPr>
    </w:lvl>
    <w:lvl w:ilvl="1" w:tplc="DE46A704">
      <w:start w:val="1"/>
      <w:numFmt w:val="bullet"/>
      <w:lvlText w:val="•"/>
      <w:lvlJc w:val="left"/>
      <w:pPr>
        <w:ind w:left="1612" w:hanging="360"/>
      </w:pPr>
      <w:rPr>
        <w:rFonts w:hint="default"/>
      </w:rPr>
    </w:lvl>
    <w:lvl w:ilvl="2" w:tplc="E3C46852">
      <w:start w:val="1"/>
      <w:numFmt w:val="bullet"/>
      <w:lvlText w:val="•"/>
      <w:lvlJc w:val="left"/>
      <w:pPr>
        <w:ind w:left="2402" w:hanging="360"/>
      </w:pPr>
      <w:rPr>
        <w:rFonts w:hint="default"/>
      </w:rPr>
    </w:lvl>
    <w:lvl w:ilvl="3" w:tplc="99829CFA">
      <w:start w:val="1"/>
      <w:numFmt w:val="bullet"/>
      <w:lvlText w:val="•"/>
      <w:lvlJc w:val="left"/>
      <w:pPr>
        <w:ind w:left="3193" w:hanging="360"/>
      </w:pPr>
      <w:rPr>
        <w:rFonts w:hint="default"/>
      </w:rPr>
    </w:lvl>
    <w:lvl w:ilvl="4" w:tplc="B4408B0C">
      <w:start w:val="1"/>
      <w:numFmt w:val="bullet"/>
      <w:lvlText w:val="•"/>
      <w:lvlJc w:val="left"/>
      <w:pPr>
        <w:ind w:left="3983" w:hanging="360"/>
      </w:pPr>
      <w:rPr>
        <w:rFonts w:hint="default"/>
      </w:rPr>
    </w:lvl>
    <w:lvl w:ilvl="5" w:tplc="F1723D82">
      <w:start w:val="1"/>
      <w:numFmt w:val="bullet"/>
      <w:lvlText w:val="•"/>
      <w:lvlJc w:val="left"/>
      <w:pPr>
        <w:ind w:left="4774" w:hanging="360"/>
      </w:pPr>
      <w:rPr>
        <w:rFonts w:hint="default"/>
      </w:rPr>
    </w:lvl>
    <w:lvl w:ilvl="6" w:tplc="FADC51BC">
      <w:start w:val="1"/>
      <w:numFmt w:val="bullet"/>
      <w:lvlText w:val="•"/>
      <w:lvlJc w:val="left"/>
      <w:pPr>
        <w:ind w:left="5564" w:hanging="360"/>
      </w:pPr>
      <w:rPr>
        <w:rFonts w:hint="default"/>
      </w:rPr>
    </w:lvl>
    <w:lvl w:ilvl="7" w:tplc="076AE076">
      <w:start w:val="1"/>
      <w:numFmt w:val="bullet"/>
      <w:lvlText w:val="•"/>
      <w:lvlJc w:val="left"/>
      <w:pPr>
        <w:ind w:left="6354" w:hanging="360"/>
      </w:pPr>
      <w:rPr>
        <w:rFonts w:hint="default"/>
      </w:rPr>
    </w:lvl>
    <w:lvl w:ilvl="8" w:tplc="AD1A70A6">
      <w:start w:val="1"/>
      <w:numFmt w:val="bullet"/>
      <w:lvlText w:val="•"/>
      <w:lvlJc w:val="left"/>
      <w:pPr>
        <w:ind w:left="7145" w:hanging="360"/>
      </w:pPr>
      <w:rPr>
        <w:rFonts w:hint="default"/>
      </w:rPr>
    </w:lvl>
  </w:abstractNum>
  <w:abstractNum w:abstractNumId="2">
    <w:nsid w:val="77CB0AAC"/>
    <w:multiLevelType w:val="hybridMultilevel"/>
    <w:tmpl w:val="68200A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55A2B"/>
    <w:rsid w:val="00027D31"/>
    <w:rsid w:val="000859F4"/>
    <w:rsid w:val="00091973"/>
    <w:rsid w:val="000C466D"/>
    <w:rsid w:val="000C5E57"/>
    <w:rsid w:val="00111B51"/>
    <w:rsid w:val="0016363A"/>
    <w:rsid w:val="001B53C7"/>
    <w:rsid w:val="002C3FBC"/>
    <w:rsid w:val="002E3E25"/>
    <w:rsid w:val="003A21C3"/>
    <w:rsid w:val="00447B2C"/>
    <w:rsid w:val="00455A2B"/>
    <w:rsid w:val="004D225F"/>
    <w:rsid w:val="0050745B"/>
    <w:rsid w:val="005B077B"/>
    <w:rsid w:val="005D3E67"/>
    <w:rsid w:val="005E515A"/>
    <w:rsid w:val="007D76C1"/>
    <w:rsid w:val="008B1A1B"/>
    <w:rsid w:val="008E484E"/>
    <w:rsid w:val="00915856"/>
    <w:rsid w:val="00942373"/>
    <w:rsid w:val="00A147F4"/>
    <w:rsid w:val="00A213E0"/>
    <w:rsid w:val="00A46233"/>
    <w:rsid w:val="00B10CC0"/>
    <w:rsid w:val="00C0598D"/>
    <w:rsid w:val="00C81AC3"/>
    <w:rsid w:val="00DC24D3"/>
    <w:rsid w:val="00E04C76"/>
    <w:rsid w:val="00E159F3"/>
    <w:rsid w:val="00E81A16"/>
    <w:rsid w:val="00ED55BC"/>
    <w:rsid w:val="00EF44E4"/>
    <w:rsid w:val="00F32A42"/>
    <w:rsid w:val="00F51653"/>
    <w:rsid w:val="00F517EA"/>
    <w:rsid w:val="00F829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8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919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1973"/>
    <w:rPr>
      <w:rFonts w:ascii="Tahoma" w:hAnsi="Tahoma" w:cs="Tahoma"/>
      <w:sz w:val="16"/>
      <w:szCs w:val="16"/>
    </w:rPr>
  </w:style>
  <w:style w:type="paragraph" w:styleId="Prrafodelista">
    <w:name w:val="List Paragraph"/>
    <w:basedOn w:val="Normal"/>
    <w:uiPriority w:val="34"/>
    <w:qFormat/>
    <w:rsid w:val="00F516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919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1973"/>
    <w:rPr>
      <w:rFonts w:ascii="Tahoma" w:hAnsi="Tahoma" w:cs="Tahoma"/>
      <w:sz w:val="16"/>
      <w:szCs w:val="16"/>
    </w:rPr>
  </w:style>
  <w:style w:type="paragraph" w:styleId="Prrafodelista">
    <w:name w:val="List Paragraph"/>
    <w:basedOn w:val="Normal"/>
    <w:uiPriority w:val="34"/>
    <w:qFormat/>
    <w:rsid w:val="00F5165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625</Words>
  <Characters>3439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SATE-STES</cp:lastModifiedBy>
  <cp:revision>7</cp:revision>
  <dcterms:created xsi:type="dcterms:W3CDTF">2018-01-18T12:19:00Z</dcterms:created>
  <dcterms:modified xsi:type="dcterms:W3CDTF">2018-01-22T09:31:00Z</dcterms:modified>
</cp:coreProperties>
</file>